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9BE21" w14:textId="12FA7DCF" w:rsidR="00D153EE" w:rsidRDefault="00E35B22">
    <w:pPr>
      <w:pStyle w:val="En-tte"/>
    </w:pPr>
    <w:r>
      <w:rPr>
        <w:noProof/>
      </w:rPr>
      <w:drawing>
        <wp:anchor distT="0" distB="0" distL="114300" distR="114300" simplePos="0" relativeHeight="251662336" behindDoc="0" locked="0" layoutInCell="1" allowOverlap="1" wp14:anchorId="5E9521FF" wp14:editId="29530355">
          <wp:simplePos x="0" y="0"/>
          <wp:positionH relativeFrom="margin">
            <wp:posOffset>0</wp:posOffset>
          </wp:positionH>
          <wp:positionV relativeFrom="paragraph">
            <wp:posOffset>189230</wp:posOffset>
          </wp:positionV>
          <wp:extent cx="1476375" cy="391795"/>
          <wp:effectExtent l="0" t="0" r="9525" b="8255"/>
          <wp:wrapNone/>
          <wp:docPr id="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179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4E5D2096" wp14:editId="40C6E52F">
          <wp:simplePos x="0" y="0"/>
          <wp:positionH relativeFrom="column">
            <wp:posOffset>3347720</wp:posOffset>
          </wp:positionH>
          <wp:positionV relativeFrom="paragraph">
            <wp:posOffset>-1905</wp:posOffset>
          </wp:positionV>
          <wp:extent cx="845820" cy="833755"/>
          <wp:effectExtent l="0" t="0" r="0" b="4445"/>
          <wp:wrapNone/>
          <wp:docPr id="7" name="Image 6" descr="Une image contenant symbole, Emblème, écusson, clipart&#10;&#10;Le contenu généré par l’IA peut être incorrect.">
            <a:extLst xmlns:a="http://schemas.openxmlformats.org/drawingml/2006/main">
              <a:ext uri="{FF2B5EF4-FFF2-40B4-BE49-F238E27FC236}">
                <a16:creationId xmlns:a16="http://schemas.microsoft.com/office/drawing/2014/main" id="{4EDFCCF9-F8F9-10A6-9A5F-EFE1CB504F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symbole, Emblème, écusson, clipart&#10;&#10;Le contenu généré par l’IA peut être incorrect.">
                    <a:extLst>
                      <a:ext uri="{FF2B5EF4-FFF2-40B4-BE49-F238E27FC236}">
                        <a16:creationId xmlns:a16="http://schemas.microsoft.com/office/drawing/2014/main" id="{4EDFCCF9-F8F9-10A6-9A5F-EFE1CB504FBE}"/>
                      </a:ext>
                    </a:extLst>
                  </pic:cNvPr>
                  <pic:cNvPicPr>
                    <a:picLocks noChangeAspect="1"/>
                  </pic:cNvPicPr>
                </pic:nvPicPr>
                <pic:blipFill>
                  <a:blip r:embed="rId2"/>
                  <a:stretch>
                    <a:fillRect/>
                  </a:stretch>
                </pic:blipFill>
                <pic:spPr bwMode="auto">
                  <a:xfrm>
                    <a:off x="0" y="0"/>
                    <a:ext cx="845820" cy="8337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38DF6D45" wp14:editId="7C401086">
          <wp:simplePos x="0" y="0"/>
          <wp:positionH relativeFrom="column">
            <wp:posOffset>1766570</wp:posOffset>
          </wp:positionH>
          <wp:positionV relativeFrom="paragraph">
            <wp:posOffset>-77470</wp:posOffset>
          </wp:positionV>
          <wp:extent cx="1114425" cy="977265"/>
          <wp:effectExtent l="0" t="0" r="9525" b="0"/>
          <wp:wrapNone/>
          <wp:docPr id="6" name="Image 5" descr="Une image contenant texte, Police, logo, blanc&#10;&#10;Le contenu généré par l’IA peut être incorrect.">
            <a:extLst xmlns:a="http://schemas.openxmlformats.org/drawingml/2006/main">
              <a:ext uri="{FF2B5EF4-FFF2-40B4-BE49-F238E27FC236}">
                <a16:creationId xmlns:a16="http://schemas.microsoft.com/office/drawing/2014/main" id="{972DA299-A136-F0EA-EDD9-C98D352B63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Une image contenant texte, Police, logo, blanc&#10;&#10;Le contenu généré par l’IA peut être incorrect.">
                    <a:extLst>
                      <a:ext uri="{FF2B5EF4-FFF2-40B4-BE49-F238E27FC236}">
                        <a16:creationId xmlns:a16="http://schemas.microsoft.com/office/drawing/2014/main" id="{972DA299-A136-F0EA-EDD9-C98D352B63C9}"/>
                      </a:ext>
                    </a:extLst>
                  </pic:cNvPr>
                  <pic:cNvPicPr>
                    <a:picLocks noChangeAspect="1"/>
                  </pic:cNvPicPr>
                </pic:nvPicPr>
                <pic:blipFill>
                  <a:blip r:embed="rId3"/>
                  <a:stretch>
                    <a:fillRect/>
                  </a:stretch>
                </pic:blipFill>
                <pic:spPr bwMode="auto">
                  <a:xfrm>
                    <a:off x="0" y="0"/>
                    <a:ext cx="1114425" cy="9772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F6004ED" wp14:editId="4C6C5996">
          <wp:simplePos x="0" y="0"/>
          <wp:positionH relativeFrom="margin">
            <wp:posOffset>4806950</wp:posOffset>
          </wp:positionH>
          <wp:positionV relativeFrom="paragraph">
            <wp:posOffset>-133350</wp:posOffset>
          </wp:positionV>
          <wp:extent cx="949960" cy="1000760"/>
          <wp:effectExtent l="0" t="0" r="2540" b="8890"/>
          <wp:wrapNone/>
          <wp:docPr id="3" name="Image 2" descr="Une image contenant cercle, logo, Police, conception&#10;&#10;Le contenu généré par l’IA peut être incorrect.">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cercle, logo, Police, conception&#10;&#10;Le contenu généré par l’IA peut être incorrect.">
                    <a:extLst>
                      <a:ext uri="{FF2B5EF4-FFF2-40B4-BE49-F238E27FC236}">
                        <a16:creationId xmlns:a16="http://schemas.microsoft.com/office/drawing/2014/main" id="{00000000-0008-0000-0000-000003000000}"/>
                      </a:ext>
                    </a:extLst>
                  </pic:cNvPr>
                  <pic:cNvPicPr>
                    <a:picLocks noChangeAspect="1"/>
                  </pic:cNvPicPr>
                </pic:nvPicPr>
                <pic:blipFill>
                  <a:blip r:embed="rId4"/>
                  <a:stretch>
                    <a:fillRect/>
                  </a:stretch>
                </pic:blipFill>
                <pic:spPr>
                  <a:xfrm>
                    <a:off x="0" y="0"/>
                    <a:ext cx="949960" cy="1000760"/>
                  </a:xfrm>
                  <a:prstGeom prst="rect">
                    <a:avLst/>
                  </a:prstGeom>
                </pic:spPr>
              </pic:pic>
            </a:graphicData>
          </a:graphic>
        </wp:anchor>
      </w:drawing>
    </w:r>
    <w:r w:rsidR="00C839E8">
      <w:rPr>
        <w:noProof/>
      </w:rPr>
      <w:t xml:space="preserve"> </w:t>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0371D"/>
    <w:rsid w:val="00113BDF"/>
    <w:rsid w:val="00166CF1"/>
    <w:rsid w:val="00180530"/>
    <w:rsid w:val="001B6010"/>
    <w:rsid w:val="001C187E"/>
    <w:rsid w:val="001D14F6"/>
    <w:rsid w:val="00226D3D"/>
    <w:rsid w:val="002321AC"/>
    <w:rsid w:val="00236045"/>
    <w:rsid w:val="002B3193"/>
    <w:rsid w:val="0032545B"/>
    <w:rsid w:val="00394A3D"/>
    <w:rsid w:val="003B0197"/>
    <w:rsid w:val="003F130D"/>
    <w:rsid w:val="004022FF"/>
    <w:rsid w:val="00420EAE"/>
    <w:rsid w:val="00434FA1"/>
    <w:rsid w:val="00482589"/>
    <w:rsid w:val="0055522E"/>
    <w:rsid w:val="005F4559"/>
    <w:rsid w:val="006302DD"/>
    <w:rsid w:val="006659BC"/>
    <w:rsid w:val="006E7106"/>
    <w:rsid w:val="006F55E3"/>
    <w:rsid w:val="00702B4C"/>
    <w:rsid w:val="00741833"/>
    <w:rsid w:val="00787408"/>
    <w:rsid w:val="007E657D"/>
    <w:rsid w:val="007E6ACF"/>
    <w:rsid w:val="008D3B16"/>
    <w:rsid w:val="008F0AF7"/>
    <w:rsid w:val="008F4C51"/>
    <w:rsid w:val="009073AA"/>
    <w:rsid w:val="00911D9A"/>
    <w:rsid w:val="00914098"/>
    <w:rsid w:val="00925D18"/>
    <w:rsid w:val="00940011"/>
    <w:rsid w:val="009A3137"/>
    <w:rsid w:val="009C44CA"/>
    <w:rsid w:val="009D0FEE"/>
    <w:rsid w:val="009F4CBE"/>
    <w:rsid w:val="00A118FA"/>
    <w:rsid w:val="00B10216"/>
    <w:rsid w:val="00B13545"/>
    <w:rsid w:val="00B21B39"/>
    <w:rsid w:val="00B6591B"/>
    <w:rsid w:val="00BC01F0"/>
    <w:rsid w:val="00BC0C65"/>
    <w:rsid w:val="00BE169F"/>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35B22"/>
    <w:rsid w:val="00E761EB"/>
    <w:rsid w:val="00E860B3"/>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Props1.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customXml/itemProps3.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4.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40</cp:revision>
  <dcterms:created xsi:type="dcterms:W3CDTF">2022-04-27T11:22:00Z</dcterms:created>
  <dcterms:modified xsi:type="dcterms:W3CDTF">2025-02-25T16:10:00Z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